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0"/>
        <w:ind w:left="5465" w:firstLine="0"/>
        <w:jc w:val="left"/>
        <w:spacing w:line="240" w:lineRule="auto"/>
        <w:widowControl w:val="off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Приложение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left="5465" w:firstLine="10"/>
        <w:jc w:val="left"/>
        <w:spacing w:line="240" w:lineRule="auto"/>
        <w:widowControl w:val="off"/>
        <w:rPr>
          <w:sz w:val="28"/>
          <w:szCs w:val="28"/>
        </w:rPr>
        <w:suppressLineNumbers w:val="0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left="5465" w:firstLine="0"/>
        <w:jc w:val="left"/>
        <w:spacing w:line="240" w:lineRule="auto"/>
        <w:widowControl w:val="off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УТВЕРЖДЕН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left="5465" w:firstLine="10"/>
        <w:jc w:val="left"/>
        <w:spacing w:line="240" w:lineRule="auto"/>
        <w:widowControl w:val="off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left="5465" w:firstLine="0"/>
        <w:jc w:val="left"/>
        <w:spacing w:line="240" w:lineRule="auto"/>
        <w:widowControl w:val="off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ind w:left="5465" w:firstLine="0"/>
        <w:jc w:val="left"/>
        <w:spacing w:line="240" w:lineRule="auto"/>
        <w:widowControl w:val="off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администрации</w:t>
      </w:r>
      <w:r>
        <w:rPr>
          <w:sz w:val="28"/>
          <w:szCs w:val="28"/>
        </w:rPr>
        <w:t xml:space="preserve"> города Артема</w:t>
      </w:r>
      <w:r>
        <w:rPr>
          <w:sz w:val="28"/>
          <w:szCs w:val="28"/>
        </w:rPr>
      </w:r>
    </w:p>
    <w:p>
      <w:pPr>
        <w:pStyle w:val="860"/>
        <w:ind w:left="5465" w:firstLine="0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0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0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60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разработки и утверждения административных регламентов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предоставления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муниципальных услуг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0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5"/>
        <w:ind w:left="0" w:right="0" w:firstLine="0"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1.1.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Настоящий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Порядок устанавливает требования к разработке и утверждению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органами администрации Артемовского городского округа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административных регламентов предоставления муниципальных услуг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(далее – регламент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Регламент устанавливает порядок взаимодействия между органами администрации Артемовского городского округа 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(далее - органы администрации городск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ого округа)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, их должностными лицами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 заявителями,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органами государственной власти,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органами местного самоуправления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иных муниципальных образований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организациями при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астоящий Порядок не применяется при разработке административного регламента предоставления муниципальной услуги на основании проекта типового административного регламента, разработанного в соответствии с требованиями Федерального закона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от 27.07.2010 № 210-ФЗ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Об организации предоставления государственных и муниципальных услуг» (далее -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Федеральный закон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от 27.07.2010 № 210-ФЗ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 утвержденного упо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лномоченным органом Правительства Приморского края или уполномоченным федеральным органом исполнительной власти Российской Федерации.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2. Регламенты </w:t>
      </w:r>
      <w:r>
        <w:rPr>
          <w:rFonts w:ascii="Times New Roman" w:hAnsi="Times New Roman" w:cs="Times New Roman"/>
          <w:sz w:val="28"/>
          <w:szCs w:val="28"/>
        </w:rPr>
        <w:t xml:space="preserve">разрабатываются органами администрации городского округа,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предоставляющими муниципальные услуги, в соответствии с федеральными законами, нормативными правовыми актами Президента Российской Федерации и Правительства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аконами Приморского края, нормативными правовыми актами Губернатора Приморского края и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Приморского края,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Артемовского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1.3. В регламентах не допускается установление полномочий администрации Артемовск</w:t>
      </w:r>
      <w:r>
        <w:rPr>
          <w:rFonts w:ascii="Times New Roman" w:hAnsi="Times New Roman" w:cs="Times New Roman"/>
          <w:sz w:val="28"/>
          <w:szCs w:val="28"/>
        </w:rPr>
        <w:t xml:space="preserve">ого городского округа, не предусмотренных действующим законодательством Российской Федерации, муниципальными правовыми актами Артемовского городского округа, а также ограничения в части реализации прав и свобод граждан, прав и законных интересов организаци</w:t>
      </w:r>
      <w:r>
        <w:rPr>
          <w:rFonts w:ascii="Times New Roman" w:hAnsi="Times New Roman" w:cs="Times New Roman"/>
          <w:sz w:val="28"/>
          <w:szCs w:val="28"/>
        </w:rPr>
        <w:t xml:space="preserve">й, за исключением случаев, когда возможность и условия введения таких ограничений напрямую предусмотрены действующим законодательством Российской Федерации, законодательством Приморского края, муниципальными правовыми актами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Артемовского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1.4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Исполнение органами администрации городского округа отдельных государственных полномочий Российской Федерации, переданных им на основании федеральных законов с предоставлением субвенций из федерального бюдж</w:t>
      </w:r>
      <w:r>
        <w:rPr>
          <w:rFonts w:ascii="Times New Roman" w:hAnsi="Times New Roman" w:cs="Times New Roman"/>
          <w:sz w:val="28"/>
          <w:szCs w:val="28"/>
        </w:rPr>
        <w:t xml:space="preserve">ета, осуществляется в порядке, установленном административным регламентом предоставления государственной услуги в сфере переданных полномочий, который утверждается соответствующим федеральным органом исполнительной власти, если иное не установлено федераль</w:t>
      </w:r>
      <w:r>
        <w:rPr>
          <w:rFonts w:ascii="Times New Roman" w:hAnsi="Times New Roman" w:cs="Times New Roman"/>
          <w:sz w:val="28"/>
          <w:szCs w:val="28"/>
        </w:rPr>
        <w:t xml:space="preserve">ным законом. 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64"/>
        <w:ind w:firstLine="709"/>
        <w:jc w:val="both"/>
        <w:spacing w:line="336" w:lineRule="auto"/>
        <w:shd w:val="clear" w:color="ffffff" w:themeColor="background1" w:fill="ffffff" w:themeFill="background1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1.5.</w:t>
      </w:r>
      <w:r>
        <w:rPr>
          <w:rFonts w:ascii="Times New Roman" w:hAnsi="Times New Roman" w:cs="Times New Roman"/>
          <w:sz w:val="28"/>
          <w:szCs w:val="28"/>
        </w:rPr>
        <w:t xml:space="preserve"> Исполнение </w:t>
      </w:r>
      <w:r>
        <w:rPr>
          <w:rFonts w:ascii="Times New Roman" w:hAnsi="Times New Roman" w:cs="Times New Roman"/>
          <w:sz w:val="28"/>
          <w:szCs w:val="28"/>
        </w:rPr>
        <w:t xml:space="preserve">органами администрации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отдельных государственных полномочий Приморского края, переданных им на основании закона Приморского края с предоставлением субвенций из краевого бюджета, осуществл</w:t>
      </w:r>
      <w:r>
        <w:rPr>
          <w:rFonts w:ascii="Times New Roman" w:hAnsi="Times New Roman" w:cs="Times New Roman"/>
          <w:sz w:val="28"/>
          <w:szCs w:val="28"/>
        </w:rPr>
        <w:t xml:space="preserve">яется в соответстви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с административными регламентами, разрабатываемыми с учетом положений Порядка разработки и утверждения административных регламентов предоставления государственных услуг, утвержденного постановлением Администрации Приморского края </w:t>
        <w:br/>
        <w:t xml:space="preserve">от 05.10.2011 № 249-па «</w:t>
      </w:r>
      <w:r>
        <w:rPr>
          <w:rFonts w:ascii="Times New Roman" w:hAnsi="Times New Roman" w:cs="Times New Roman"/>
          <w:sz w:val="28"/>
          <w:szCs w:val="28"/>
        </w:rPr>
        <w:t xml:space="preserve">О разработке и утверждении административных регламентов предоставления государственных услуг»,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законами Приморского края о наделении органов местного самоуправления муниципальных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образований отдельными государственными полном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очиями Приморского края.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разработке</w:t>
      </w:r>
      <w:r>
        <w:rPr>
          <w:rFonts w:ascii="Times New Roman" w:hAnsi="Times New Roman" w:cs="Times New Roman"/>
          <w:sz w:val="28"/>
          <w:szCs w:val="28"/>
        </w:rPr>
        <w:t xml:space="preserve"> регламентов органы администрации городского округа предусматривают оптимизацию (повышение качества) предоставления муниципальных услуг, в том числе: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возможность предоставления муниципальной услуги в упреждающем (проактивном) режиме,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многоканальность и экстерриториальность получения муниципальных услуг,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устранение избыточных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административных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логически обособленных последовательностей административных действий при предоставлении муниципальной услуги (далее - административные процедуры)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сроков их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осуществления, а также документов и (или) информации, требуемых для получения муниципальной услуги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внедрение принципов предоставления муниципальных услуг, предусмотренных Федеральным законом </w:t>
        <w:br/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от 27.07.2010 № 210-ФЗ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trike/>
          <w:color w:val="ff0000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1.7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 Регламенты, разработанные органами администрации городского округа, утверждаются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администрации города Артема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trike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strike/>
          <w:color w:val="ff0000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trike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1.8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. Орган администраци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и городского округа, ответственный за разработку регламента, согласует проект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регламента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с: </w:t>
      </w:r>
      <w:r>
        <w:rPr>
          <w:rFonts w:ascii="Times New Roman" w:hAnsi="Times New Roman" w:cs="Times New Roman"/>
          <w:strike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strike/>
          <w:color w:val="000000" w:themeColor="text1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первым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заместителем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(заместителем)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главы 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города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или руководителем аппарата администрации города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по к</w:t>
      </w:r>
      <w:r>
        <w:rPr>
          <w:rFonts w:ascii="Times New Roman" w:hAnsi="Times New Roman" w:cs="Times New Roman"/>
          <w:sz w:val="28"/>
          <w:szCs w:val="28"/>
        </w:rPr>
        <w:t xml:space="preserve">урируемому направлению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руководителями органов администрации городского округа, которые участвуют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 начальником управления информатизации и информационных систем;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с начальником правового управления;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 начальником управления делами и организационной работы.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1.9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 Проекты регламен</w:t>
      </w:r>
      <w:r>
        <w:rPr>
          <w:rFonts w:ascii="Times New Roman" w:hAnsi="Times New Roman" w:cs="Times New Roman"/>
          <w:sz w:val="28"/>
          <w:szCs w:val="28"/>
        </w:rPr>
        <w:t xml:space="preserve">тов подлежат независимой экспертизе и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экспертизе, проводимой уполномоченным органом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администрации городского округа, который определяется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нормативным правовым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актом администрации города Артема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1.10.  В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 целях проведе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ния независимой экспертизы проекта регламента (далее – независимая экспертиза) орган администрации, разрабатывающий проект регламента, направляет его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в управление 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информационной 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политики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 администрации 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Артемовского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 городского округа для размещения на официальном сайте 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Артемовского городского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 округа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в информационно-телекоммуникационной сети Интернет (далее – официальный сайт Артемовского городского округа)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Вместе с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проектом регламента орган администрации городского округа направляет для размещения на официальном сайте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Артемовского городского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округа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информацию о сроках проведения независимой экспертизы,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перечень специалистов, ответственных за сбор и учет представленных заключений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с указанием номеров телефонов, адресов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электронной почты.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1.11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 Управление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информационной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политики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администрации Артемовского городского округа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в течение 2 (двух) рабочих дней со дня поступления проекта регламента размещает его на официальном сайте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Артемовского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городского округа в разделе «Административные регламенты» (вкладка «Проекты регламентов»).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 Предметом независимой экспертизы является оценка возможного п</w:t>
      </w:r>
      <w:r>
        <w:rPr>
          <w:rFonts w:ascii="Times New Roman" w:hAnsi="Times New Roman" w:cs="Times New Roman"/>
          <w:sz w:val="28"/>
          <w:szCs w:val="28"/>
        </w:rPr>
        <w:t xml:space="preserve">оложительного эффекта, а также возможных негативных последствий реализации положений проекта регламента для граждан и организаций.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1.13.</w:t>
      </w:r>
      <w:r>
        <w:rPr>
          <w:rFonts w:ascii="Times New Roman" w:hAnsi="Times New Roman" w:cs="Times New Roman"/>
          <w:sz w:val="28"/>
          <w:szCs w:val="28"/>
        </w:rPr>
        <w:t xml:space="preserve"> Независимая экспертиза может проводиться физическими и юридическими лицами в инициативном порядке за счет собственных средств. </w:t>
      </w:r>
      <w:r>
        <w:rPr>
          <w:rFonts w:ascii="Times New Roman" w:hAnsi="Times New Roman" w:cs="Times New Roman"/>
          <w:sz w:val="28"/>
          <w:szCs w:val="28"/>
        </w:rPr>
        <w:t xml:space="preserve">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организациями, находящимися в ведении органа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администрации городского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округа, являющегося разработчиком регламента.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14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 Ср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ок, отведенный для проведения независимой экспертизы, указывается при размещении проекта регламента на официальном сайте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Артемовского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городского округа. Указанный срок не м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ожет быть менее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7 (семи) календарных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дней со дня размещения проекта регламента в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информационно-телекоммуникационной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сети Интернет.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1.15.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з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ь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 независимой экспертизы составляется заключение, которое направляется не позднее дня срока,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отведенного для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проведения независимой экспертизы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указанн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ого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пункте 1.14 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астоящего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Порядка, в орган 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дминистрации городского округа, являющийся разработчиком регламента.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Орган администрации городского округа,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являющийся разработчиком регламента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рассматривает все поступившие заключения независимой экспертизы и принимает решение о необходимост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 (об отсутствии необходимости) уточнения положений регламента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с учетом поступивших заключений независимой экспертизы в течение 10 рабочих дней со дня окончания срока, отведенного для проведения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независимой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экспертизы.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16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 Непоступление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заклю</w:t>
      </w:r>
      <w:r>
        <w:rPr>
          <w:rFonts w:ascii="Times New Roman" w:hAnsi="Times New Roman" w:cs="Times New Roman"/>
          <w:sz w:val="28"/>
          <w:szCs w:val="28"/>
        </w:rPr>
        <w:t xml:space="preserve">чения независимой экспертизы в орган администрации городского округа, являющийся разработчиком регламента, в срок, отведенный для проведения независимой экспертизы, не является препятствием для проведения экспертизы, проводимой уполномоченным 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рганом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администрации Артемовского городского округа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trike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1.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17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. Правовое управление администрации городского округа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  <w:lang w:val="ru-RU"/>
        </w:rPr>
        <w:t xml:space="preserve"> проводит правовую и антикоррупционную экспертизы проектов регламентов в порядке, установленном муниципальными правовыми актами.</w:t>
      </w:r>
      <w:r>
        <w:rPr>
          <w:rFonts w:ascii="Times New Roman" w:hAnsi="Times New Roman" w:cs="Times New Roman"/>
          <w:strike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strike/>
          <w:color w:val="000000" w:themeColor="text1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1.18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Срок согласования проектов регламентов устанавливается в соответствии с утвержденной в администрации городского округа Инструкцией по делопроизводству.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1.19. Администр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ативные регламенты подлежат размещению на официальном сайте Артемовского городского округа, в региональной государственной информационной системе «Реестр государственных и муниципальных услуг (функций) Приморского края».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1.20.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Органы администрации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уполномоченные 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соответствии с муниципальными правовыми актами, обеспечивают внесе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ние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сведений о порядке предоставления муниципальной услуги в соответствии с утвержденным административным регламентом в реестр муниципальных услуг, в том числе в электронном виде, в порядке, установленном администрацией города Артема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5"/>
        <w:ind w:left="0" w:right="0" w:firstLine="0"/>
        <w:jc w:val="center"/>
        <w:spacing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ТРЕБОВАНИЯ К РЕГЛАМЕНТАМ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</w:t>
      </w:r>
      <w:r>
        <w:rPr>
          <w:rFonts w:ascii="Times New Roman" w:hAnsi="Times New Roman" w:cs="Times New Roman"/>
          <w:sz w:val="28"/>
          <w:szCs w:val="28"/>
        </w:rPr>
        <w:t xml:space="preserve">. Наименование регламента определяется органом администрации городского округа, ответственным за его подготовку, с учетом формулировки соответствующей редакции положения нормативного правового акта, которым предусмотрена муниципальная услуга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действующим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</w:t>
      </w:r>
      <w:r>
        <w:rPr>
          <w:rFonts w:ascii="Times New Roman" w:hAnsi="Times New Roman" w:cs="Times New Roman"/>
          <w:sz w:val="28"/>
          <w:szCs w:val="28"/>
        </w:rPr>
        <w:t xml:space="preserve">. Наименование регламента предоставления муниципальной услуги формируется следующим образом: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</w:t>
      </w:r>
      <w:r>
        <w:rPr>
          <w:rFonts w:ascii="Times New Roman" w:hAnsi="Times New Roman" w:cs="Times New Roman"/>
          <w:sz w:val="28"/>
          <w:szCs w:val="28"/>
        </w:rPr>
        <w:t xml:space="preserve">. В регламент включаются следующие разделы: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а)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общие положения;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б)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стандарт предоставления муниципальной услуги;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trike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состав, последовательность и сроки выполнения административных процедур, требов</w:t>
      </w:r>
      <w:r>
        <w:rPr>
          <w:rFonts w:ascii="Times New Roman" w:hAnsi="Times New Roman" w:cs="Times New Roman"/>
          <w:sz w:val="28"/>
          <w:szCs w:val="28"/>
        </w:rPr>
        <w:t xml:space="preserve">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</w:t>
      </w:r>
      <w:r>
        <w:rPr>
          <w:rFonts w:ascii="Times New Roman" w:hAnsi="Times New Roman" w:cs="Times New Roman"/>
          <w:sz w:val="28"/>
          <w:szCs w:val="28"/>
        </w:rPr>
        <w:t xml:space="preserve">р в многофункциональных центрах.</w:t>
      </w:r>
      <w:r>
        <w:rPr>
          <w:rFonts w:ascii="Times New Roman" w:hAnsi="Times New Roman" w:cs="Times New Roman"/>
          <w:strike/>
          <w:color w:val="ff0000"/>
          <w:sz w:val="28"/>
          <w:szCs w:val="28"/>
        </w:rPr>
      </w:r>
      <w:r>
        <w:rPr>
          <w:rFonts w:ascii="Times New Roman" w:hAnsi="Times New Roman" w:cs="Times New Roman"/>
          <w:strike/>
          <w:color w:val="ff0000"/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регламента 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«Общие положения»</w:t>
      </w:r>
      <w:r>
        <w:rPr>
          <w:rFonts w:ascii="Times New Roman" w:hAnsi="Times New Roman" w:cs="Times New Roman"/>
          <w:strike w:val="0"/>
          <w:color w:val="auto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состоит из следующих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пунктов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trike/>
          <w:color w:val="ff0000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а)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предмет регулирования регламента; </w:t>
      </w:r>
      <w:r>
        <w:rPr>
          <w:rFonts w:ascii="Times New Roman" w:hAnsi="Times New Roman" w:cs="Times New Roman"/>
          <w:strike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strike/>
          <w:color w:val="ff0000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б)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круг заявителей.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Раздел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регламента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«Стандарт предоставления муниципальной услуги»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состоит из следующих подразделов: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а)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наименование муниципальной услуги;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б)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наименование органа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администрации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предоставляющего муниципальную услугу;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 xml:space="preserve"> результат предоставления муниципальной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г)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срок предоставления муниципальной услуги;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trike/>
          <w:color w:val="ff0000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исчерпывающий перечень документов, необходимых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для предоставления муниципальной услуги;</w:t>
      </w:r>
      <w:r>
        <w:rPr>
          <w:rFonts w:ascii="Times New Roman" w:hAnsi="Times New Roman" w:cs="Times New Roman"/>
          <w:strike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strike/>
          <w:color w:val="ff0000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е)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исчерпывающий перечень оснований для отказа в приеме документов, необходимых для предоставления муниципальной услуги;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ж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исчерпывающий перечень оснований для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приостановления предоставления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муниципальной услуги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или отказа в предоставлении муниципальной услуги;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trike/>
          <w:color w:val="ff0000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к)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размер платы, взимаемой с заявителя при предоставлении муниципальной услуги, и способы ее взимания; </w:t>
      </w:r>
      <w:r>
        <w:rPr>
          <w:rFonts w:ascii="Times New Roman" w:hAnsi="Times New Roman" w:cs="Times New Roman"/>
          <w:strike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strike/>
          <w:color w:val="ff0000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i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л)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максимальный срок ожидания в очереди при подаче запроса о пред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оставлении муниципальной услуги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и при получении результата предоставления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муниципальной услуги,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случае обращения заявителя в непосредственно в администрацию городского округа или многофункциональный центр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i/>
          <w:sz w:val="28"/>
          <w:szCs w:val="28"/>
          <w:highlight w:val="none"/>
        </w:rPr>
      </w:r>
      <w:r>
        <w:rPr>
          <w:rFonts w:ascii="Times New Roman" w:hAnsi="Times New Roman" w:cs="Times New Roman"/>
          <w:i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м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срок регистрации запр</w:t>
      </w:r>
      <w:r>
        <w:rPr>
          <w:rFonts w:ascii="Times New Roman" w:hAnsi="Times New Roman" w:cs="Times New Roman"/>
          <w:sz w:val="28"/>
          <w:szCs w:val="28"/>
        </w:rPr>
        <w:t xml:space="preserve">оса заявителя о пред</w:t>
      </w:r>
      <w:r>
        <w:rPr>
          <w:rFonts w:ascii="Times New Roman" w:hAnsi="Times New Roman" w:cs="Times New Roman"/>
          <w:sz w:val="28"/>
          <w:szCs w:val="28"/>
        </w:rPr>
        <w:t xml:space="preserve">оставлении муниципальной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н)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редоставлении муниципальной услуги, информационным стендам с образцами их заполнения и перечнем документов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 (или)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информации,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необходимых для предоставления каждой муниципальной услуги, в том числе к обеспечению доступности для инвалидов указанных объектов в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законодательством Российской Федерации о социальной защите инвалидов;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показатели доступности и качества муниципальной услуги;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иные требования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к предоставлению  муниципальной услуги,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2.3.3. В случае если в соответствии с федеральным законодательством установлен единый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стандарт пр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едоставления муниципальной услуги, раздел, касающийся указанного единого стандарта, должен содержать положения, предусмотренные частью 2 статьи 14 Федерального закона от 27.07.2010       № 210-ФЗ, а также положения, предусмо</w:t>
      </w:r>
      <w:r>
        <w:rPr>
          <w:rFonts w:ascii="Times New Roman" w:hAnsi="Times New Roman" w:cs="Times New Roman"/>
          <w:sz w:val="28"/>
          <w:szCs w:val="28"/>
        </w:rPr>
        <w:t xml:space="preserve">тренные федеральным законодательством.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highlight w:val="none"/>
        </w:rPr>
        <w:t xml:space="preserve">2.3.4.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highlight w:val="none"/>
        </w:rPr>
        <w:t xml:space="preserve">П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highlight w:val="none"/>
        </w:rPr>
        <w:t xml:space="preserve">у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highlight w:val="none"/>
        </w:rPr>
        <w:t xml:space="preserve">н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highlight w:val="none"/>
        </w:rPr>
        <w:t xml:space="preserve">к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т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«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Р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е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з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у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л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ь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т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а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т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п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р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е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д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с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т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а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в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л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е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н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и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я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м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у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н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и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ц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и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п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а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л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ь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н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й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у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с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л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у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г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и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»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д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л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ж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е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н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в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к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л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ю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ч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а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т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ь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с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л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е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д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у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ю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щ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и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е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п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л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ж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е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н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и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я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:</w:t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наименование результата (результатов) предоставления муниципальной услуги;</w:t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наименование и состав реквизитов документа, содержащего решение о предоставлении муниципальной услуги, на основании которого заявителю предоставляется результат муниципальной услуги;</w:t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с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остав реестровой записи о результате предоставления муниципальной услуги, а также наименование информационного ресурса, в котором размещена такая реестровая запись (в случае если результатом предоставления муниципальной услуги является реестровая запись);</w:t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наименование информационной системы, в которой фиксируется факт получения заявителем результата предоставления муниципальной услуги;</w:t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с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пособ получения результата предоставления муниципальной услуги.</w:t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bCs w:val="0"/>
          <w:i w:val="0"/>
          <w:sz w:val="28"/>
          <w:szCs w:val="28"/>
          <w:highlight w:val="yellow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В случае если муниципальная услуга предоставляется в отношении несовершеннолетнего и ее результат оформляется в форме документа на бумажном носителе, в пункт «Результат предоставления муниципальной услуги» включаются положения, регулирующие порядок пред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оставления результата такой муниципальной услуги, в том числе способы и сроки его предоставления, законному представителю несовершеннолетнего, не являющемуся заявителем, с учетом требований, предусмотренных частью 3 статьи 5 Федерального закона</w:t>
      </w:r>
      <w:r>
        <w:rPr>
          <w:rFonts w:ascii="Times New Roman" w:hAnsi="Times New Roman" w:cs="Times New Roman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от 27.07.20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10 № 210-ФЗ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bCs w:val="0"/>
          <w:i w:val="0"/>
          <w:sz w:val="28"/>
          <w:szCs w:val="28"/>
          <w:highlight w:val="yellow"/>
        </w:rPr>
      </w:r>
      <w:r>
        <w:rPr>
          <w:rFonts w:ascii="Times New Roman" w:hAnsi="Times New Roman" w:cs="Times New Roman"/>
          <w:bCs w:val="0"/>
          <w:i w:val="0"/>
          <w:sz w:val="28"/>
          <w:szCs w:val="28"/>
          <w:highlight w:val="yellow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Пункт «С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рок предоставления муниципальной услуги» должен включать сведения о максимальном сроке предоставления муниципальной услуги, который исчисляется со дня регистрации запроса и документов и (или) информации, необходимых для 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администрации городского округа (органе администрации городского округа,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предоставляюще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 муниципальную услугу), в том числе в случае, если запрос и документы и (или) информация, необходимые для предоставления муниципальной услуги, поданы заявителем посредством почтового отправления в орган администрации, предоставляющий муниципальную услугу;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федеральной государственной информационной системе «Единый портал государственных и муниципальных услуг (функций)» (далее - Единый портал);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многофункциональном центре в случае, если запрос и документы и (или) информация, необходимые для предоставления муниципальной услуги, поданы заявителем в многофункциональном центре.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2.3.6. Пункт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Исчерпывающий перечень документов, необходимых для предоставления муниципальной услуги» должен включать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ого взаимодействия, а также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следующие положения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состав и способы подачи запроса о предоставлении муниципальной услуги, который должен содержать: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полное наименование органа, предоставляющего муниципальную услугу;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сведения, позволяющие идентифицировать заявителя, содержащиеся в документах, предусмотренных законодательством Российской Федерации;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сведения, позволяющие идентифицировать представителя заявителя, содержащиеся в документах, предусмотренных законодательством Российской Федерации;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дополнительные сведения, необходимые для предоставления муниципальной услуги;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перечень прилагаемых к запросу документов и (или) информации;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аименование документов (категорий документов), необходимых для предоставления муниципальной услуги в соответствии с нормативными правовыми актами и обязательных для представления заявителями, а также требования к представлению указанных документов (категор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ий документов);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аименование документов (категорий документов),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инициативе, а также требования к представлению указанных документо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(категорий документов).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ормы запроса и иных документов, подаваемых заявителем в связи с предоставлением муниципальной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или Правительства Российской Федерации.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2.3.7. Пункт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Исчерпывающий перечень оснований для отказа в приеме документов, необходимых для предоставления муниципальной услуги» должен включать информацию об исчерпывающем перечне таких оснований.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2.3.8. Пункт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Исчерпывающий перечень оснований для отказа в приеме документов, необходимых для предоставления муниципальной услуги» должен включать информацию об исчерпывающем перечне таких оснований.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2.3.9. Пункт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Исчерпывающий перечень оснований для приостановления предоставления муниципальной услуги или отказа в предоставлении муниципальной услуги» должен включать следующие положения: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исчерпывающий перечень оснований для приостановления предоставления муниципальной услуги в случае, если возможность приостановления муниципальной услуги предусмотрена законодательством Российской Федерации;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исчерпывающий перечень оснований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Для каждого основания, включенного в перечни, указанные в абзацах втором и третьем настоящего пункта, предусматриваются соответственно критерии принятия решения о предоставлении (об отказе в предоставлении) муниципальной услуги и критерии принятия решения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 приостановлении предоставления муниципальной услуги, включаемые в состав описания соответствующих административных процедур.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2.3.10. В пункт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Размер платы, взимаемой с заявителя при предоставлении муниципальной услуги, и способы ее взимания» включаются следующие положения: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а) ссылка на положение соответствующего нормативного правового акта, в котором установлен размер государственной пошлины или иной платы, взимаемой за предоставление муниципальной услуги;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б) сведения о размещении на Едином портале государственных и муниципальных услуг информации о размере государственной пошлины или иной платы, взимаемой за предоставление муниципальной услуги;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в) порядок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Приморского края, муниципальными правовыми актами.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2.3.11. В пункт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Требования к помещениям, в которых предоставляются муниципальные услуги» включаются требования, которым должны соответствовать такие помещения, в том числе зал ожидания, места для заполнения запросов о предоставлении муниципальной услуги, информационные с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тенды с образцами их заполнения и перечнем документов и (или) информации, необходимые для предоставления каждой муниципальной услуги, а также требования к обеспечению доступности для инвалидов указанных объектов в соответствии с законодательством Российско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й Федерации о социальной защите инвалидов.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2.3.12.  В пункт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Показатели качества и доступности муниципальной услуги» включается перечень показателей качества и доступности муниципальной услуги, в том числе возможность подачи запроса на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получение муниципальной услуги и документов в электронной форме, своевременное предоставление муниципальной услуги (отсутствие нарушений сроков предоставления муниципальной услуги)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удобство информирования заявителя о ходе предоставления муниципальной услуги, а также получения результата предоставл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ения услуги.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2.3.13.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пункт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Иные требования к предоставлению муниципальной услуги» включаются следующие положения: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а) перечень услуг, которые являются необходимыми и обязательными для предоставления муниципальной услуги;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б) размер платы за предоставление указанных в подпункте «а» настоящего подпункта услуг в случаях, когда размер платы установлен законодательством Российской Федерации;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в) перечень информационных систем, используемых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2.3.14.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Раздел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Состав, последовательность и сроки выполнения административных процедур» определяет требования к порядку выполнения административных процедур, в том числе особенности выполнения административных процедур в электронной форме, ос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обенности выполнения административных процедур в многофункциональных центрах и должен содержать следующие пункты: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) перечень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д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ат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ы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ц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д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б) пункты, содержащие описание административных процедур, осуществляемых при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2.3.15. В описании административной процедуры приема запроса и документов и (или) информации, необходимых для предоставления муниципальной услуги, включаются следующие положения: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а) состав запроса и перечень документов и (или) информации, необходимых для предоставления муниципальной услуги, а также способы подачи таких запроса и документов и (или) информации;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б) способы установления личности заявителя (представителя заявителя) для каждого способа подачи запроса и документов и (или) информации, необходимых для предоставления муниципальной услуги;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наличие (отсутствие) возможности подачи запроса и документов и (или) информации, необходимых для предоставления муниципальной услуги, представителем заявителя;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г) основания для принятия решения об отказе в приеме запроса и документов и (или) информации, а в случае отсутствия таких оснований - указание на их отсутствие;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д) органы администрации, участвующие в приеме запроса о предоставлении муниципальной услуги, в том числе сведения о возможности подачи запроса в многофу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нкциональный центр (при наличии такой возможности);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е) возможность (невозможность) приема органом, предоставляющим муниципальную услугу, или многофункциональным центром запроса 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видуальных предпринимателей) либо местонахождения (для юрид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ических лиц);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ж) срок регистрации запроса и документов и (или) информации, необходимых для предоставления муниципальной услуги, в администрации городского округа (органе администрации, предоставляющим муниципальную услугу)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или в многофункциональном центре.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2.3.16.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описание административной процедуры межведомственного информационного взаимодействия включается перечень информационных запросов, необходимых для предоставления муниципальной услуги, который должен содержать: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наименование федерального органа исполнительной власти, органа государственного внебюджетного фонда или государственной корпорации, органа исполнительной власти субъекта Российской Федерации (для регламента по переданным полномочиям), в которые направляетс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я запрос;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направляемые в запросе сведения;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запрашиваемые в запросе сведения с указанием их цели использования;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основание для информационного запроса, срок его направления;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срок, в течение которого результат запроса должен поступить в орган, предоставляющий муниципальную услугу.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2.3.17.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описание административной процедуры приостановления предоставления муниципальной услуги включаются следующие положения: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а) перечень оснований для приостановления предоставления муниципальной услуги, а в случае отсутствия таких оснований - указание на их отсутствие;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б) состав и содержание осуществляемых при приостановлении предоставления муниципальной услуги административных действий;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в) перечень оснований для возобновления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2.3.18.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описание административной процедуры принятия решения о предоставлении (об отказе в предоставлении) муниципальной услуги включаются следующие положения: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а) критерии принятия решения о предоставлении (об отказе в предоставлении) муниципальной услуги;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б) срок принятия решения о предоставлении (об отказе в предоставлении) муниципальной услуги, исчисляемый с даты получения органом, предоставляющим муниципальную услугу, всех сведений, необходимых для принятия решения.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2.3.19.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описание административной процедуры предоставления результата муниципальной услуги включаются следующие положения: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а) способы предоставления результата муниципальной услуги;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б) срок предоставления заявителю результата муниципальной услуги, исчисляемый со дня принятия решения о предоставлении муниципальной услуги;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в) возможность (невозможность) предоставления органом, предоставляющим муниципальную услугу, или многофункциональным центром результата муниципальной услуги по выбору заявителя независимо от его места жительства или места пребывания (для физических лиц, вк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лючая индивидуальных предпринимателей) либо местонахождения (для юридических лиц).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2.3.20.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описание административной процедуры получения дополнительных сведений от заявителя включаются следующие положения: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а) основания для получения от заявителя дополнительных документов и (или) информации в процессе предоставления муниципальной услуги;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б) срок, необходимый для получения таких документов и (или) информации;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в) указание на необходимость (отсутствие необходимости) для приостановления предоставления муниципальной услуги при необходимости получения от заявителя дополнительных сведений;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г) перечень федеральных органов исполнительной власти, органов государственных внебюджетных фондов, органов испол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нительной власти Приморского края, органов исполнительной власти иных субъектов Российской Федерации, органов местного самоуправления иных муниципальных образований, участвующих в административной процедуре, в случае если они известны (при необходимости).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2.3.21.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случае если вариант предоставления муниципальной услуги предполагает предоставление муниципальной услуги в упреждающем (проактивном) режиме, в состав пункта, содержащего описание варианта предоставления муниципальной услуги, включаются следующие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положения: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) указание на необходимость предварительной подачи заявителем запроса о предоставлении ему данной муниципальной услуги в упреждающем (проактивном) режиме или подачи заявителем запроса о предоставлении данной муниципальной услуги после осуществления органом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предоставляющим муниципальную услугу, мероприятий в соответствии с пунктом 1 части 1 статьи 7.3 Федерального закона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от 27.07.2010 № 210-ФЗ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б) сведения о юридическом факте, поступление которого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в информационную систему органа, предоставляющего муниципальную услугу, является основанием для предоставления заявителю данной муниципальной услуги в упреждающем (проактивном) режиме;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в) наименование информационной системы, из которой должны поступить сведения, указанные в подпункте «б» настоящего подпункта, а также информационной системы органа, предоставляющего муниципальную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услугу, в которую должны поступить данные сведения;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г) состав, последовательность и сроки выполнения административных процедур, осуществляемых органом, предоставляющим муниципальную услугу, после поступления в информационную систему данного 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ргана сведений, указанных в подпункте «б» настоящего подпункта.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865"/>
        <w:ind w:firstLine="709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5"/>
        <w:ind w:left="0" w:right="0" w:firstLine="0"/>
        <w:jc w:val="center"/>
        <w:spacing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3. ОСОБЕННОСТИ ПОДАЧИ И РАССМОТРЕНИЯ ЖАЛОБ НА </w:t>
        <w:br/>
        <w:t xml:space="preserve">РЕШЕНИЯ И ДЕЙСТВИЯ (Б</w:t>
      </w:r>
      <w:r>
        <w:rPr>
          <w:rFonts w:ascii="Times New Roman" w:hAnsi="Times New Roman" w:cs="Times New Roman"/>
          <w:sz w:val="28"/>
          <w:szCs w:val="28"/>
        </w:rPr>
        <w:t xml:space="preserve">ЕЗДЕ</w:t>
      </w:r>
      <w:r>
        <w:rPr>
          <w:rFonts w:ascii="Times New Roman" w:hAnsi="Times New Roman" w:cs="Times New Roman"/>
          <w:sz w:val="28"/>
          <w:szCs w:val="28"/>
        </w:rPr>
        <w:t xml:space="preserve">ЙСТВИЕ) ОРГАНОВ </w:t>
        <w:br/>
        <w:t xml:space="preserve">АДМИНИСТРАЦИИ АРТЕМОВСКОГО ГОРОДСКОГО ОКРУГА, ПРЕДОСТАВЛЯЮЩИХ МУНИЦИПАЛЬНЫЕ УСЛУГИ, А ТАКЖЕ ДОЛЖНОСТНЫХ ЛИЦ, МУНИЦИПАЛЬНЫХ СЛУЖАЩИХ, НА </w:t>
        <w:br/>
        <w:t xml:space="preserve">РЕШЕНИЯ И ДЕЙСТВИЯ (БЕЗДЕЙСТВИЕ) </w:t>
        <w:br/>
        <w:t xml:space="preserve">МНОГОФУНКЦИОНАЛЬНОГО ЦЕНТРА, РАБОТНИКОВ </w:t>
        <w:br/>
        <w:t xml:space="preserve">МНОГОФУНКЦИОНАЛЬНОГО ЦЕНТРА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bCs/>
          <w:strike w:val="0"/>
          <w:sz w:val="28"/>
          <w:szCs w:val="28"/>
        </w:rPr>
        <w:t xml:space="preserve">3.1. </w:t>
      </w:r>
      <w:r>
        <w:rPr>
          <w:rFonts w:ascii="Times New Roman" w:hAnsi="Times New Roman" w:cs="Times New Roman"/>
          <w:strike w:val="0"/>
          <w:sz w:val="28"/>
          <w:szCs w:val="28"/>
          <w:lang w:val="ru-RU"/>
        </w:rPr>
        <w:t xml:space="preserve">Жалоба на решения и действия (бездействие) администрации Артемовского городского округа, учреждений, предоставляющих муниципальные услуги, должностных лиц, муниципальных служащих администрации </w:t>
      </w:r>
      <w:r>
        <w:rPr>
          <w:rFonts w:ascii="Times New Roman" w:hAnsi="Times New Roman" w:cs="Times New Roman"/>
          <w:strike w:val="0"/>
          <w:sz w:val="28"/>
          <w:szCs w:val="28"/>
          <w:lang w:val="ru-RU"/>
        </w:rPr>
        <w:t xml:space="preserve">Артемовского городского округа, должностных лиц и специалистов</w:t>
      </w:r>
      <w:r>
        <w:rPr>
          <w:rFonts w:ascii="Times New Roman" w:hAnsi="Times New Roman" w:cs="Times New Roman"/>
          <w:strike w:val="0"/>
          <w:sz w:val="28"/>
          <w:szCs w:val="28"/>
          <w:lang w:val="ru-RU"/>
        </w:rPr>
        <w:t xml:space="preserve"> учреждений, предоставляющих муниципальные услуги, многофункциональ</w:t>
      </w:r>
      <w:r>
        <w:rPr>
          <w:rFonts w:ascii="Times New Roman" w:hAnsi="Times New Roman" w:cs="Times New Roman"/>
          <w:strike w:val="0"/>
          <w:sz w:val="28"/>
          <w:szCs w:val="28"/>
          <w:lang w:val="ru-RU"/>
        </w:rPr>
        <w:t xml:space="preserve">ного центра, должностных лиц, работников многофункционального центра подается в письменной форме, в том числе при личном приеме заявителя или в электронном виде в администрацию округа, многофункциональный центр либо учредителю многофункционального центра.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lang w:val="ru-RU"/>
        </w:rPr>
        <w:t xml:space="preserve">3.2. Жалобы на решения</w:t>
      </w:r>
      <w:r>
        <w:rPr>
          <w:rFonts w:ascii="Times New Roman" w:hAnsi="Times New Roman" w:cs="Times New Roman"/>
          <w:strike w:val="0"/>
          <w:sz w:val="28"/>
          <w:szCs w:val="28"/>
          <w:lang w:val="ru-RU"/>
        </w:rPr>
        <w:t xml:space="preserve"> и действия (бездействие) администрации округа, органов администрации, учреждений, </w:t>
      </w:r>
      <w:r>
        <w:rPr>
          <w:rFonts w:ascii="Times New Roman" w:hAnsi="Times New Roman" w:cs="Times New Roman"/>
          <w:strike w:val="0"/>
          <w:sz w:val="28"/>
          <w:szCs w:val="28"/>
          <w:lang w:val="ru-RU"/>
        </w:rPr>
        <w:t xml:space="preserve">предоставляющих муниципальные услуги, </w:t>
      </w:r>
      <w:r>
        <w:rPr>
          <w:rFonts w:ascii="Times New Roman" w:hAnsi="Times New Roman" w:cs="Times New Roman"/>
          <w:strike w:val="0"/>
          <w:sz w:val="28"/>
          <w:szCs w:val="28"/>
          <w:lang w:val="ru-RU"/>
        </w:rPr>
        <w:t xml:space="preserve">должностных лиц, муниципальных служащих</w:t>
      </w:r>
      <w:r>
        <w:rPr>
          <w:rFonts w:ascii="Times New Roman" w:hAnsi="Times New Roman" w:cs="Times New Roman"/>
          <w:strike w:val="0"/>
          <w:sz w:val="28"/>
          <w:szCs w:val="28"/>
          <w:lang w:val="ru-RU"/>
        </w:rPr>
        <w:t xml:space="preserve"> администрации округа, должностных лиц, специалистов учреждений</w:t>
      </w:r>
      <w:r>
        <w:rPr>
          <w:rFonts w:ascii="Times New Roman" w:hAnsi="Times New Roman" w:cs="Times New Roman"/>
          <w:strike w:val="0"/>
          <w:sz w:val="28"/>
          <w:szCs w:val="28"/>
          <w:lang w:val="ru-RU"/>
        </w:rPr>
        <w:t xml:space="preserve">, предоставляющих муниципальные услуги, подаются в администрацию округа и рассматриваются должностными лицами, наделенными такими полномочиями в соответствии с муниципальным правовым актом. </w:t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lang w:val="ru-RU"/>
        </w:rPr>
        <w:t xml:space="preserve">3.3. </w:t>
      </w:r>
      <w:r>
        <w:rPr>
          <w:rFonts w:ascii="Times New Roman" w:hAnsi="Times New Roman" w:cs="Times New Roman"/>
          <w:strike w:val="0"/>
          <w:sz w:val="28"/>
          <w:szCs w:val="28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</w:t>
      </w:r>
      <w:r>
        <w:rPr>
          <w:rFonts w:ascii="Times New Roman" w:hAnsi="Times New Roman" w:cs="Times New Roman"/>
          <w:strike w:val="0"/>
          <w:sz w:val="28"/>
          <w:szCs w:val="28"/>
        </w:rPr>
        <w:t xml:space="preserve">р</w:t>
      </w:r>
      <w:r>
        <w:rPr>
          <w:rFonts w:ascii="Times New Roman" w:hAnsi="Times New Roman" w:cs="Times New Roman"/>
          <w:strike w:val="0"/>
          <w:sz w:val="28"/>
          <w:szCs w:val="28"/>
        </w:rPr>
        <w:t xml:space="preserve">а. </w:t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</w:rPr>
        <w:t xml:space="preserve">Жалобы на решения и действия (бездействие) многофункционального центра, должностных лиц</w:t>
      </w:r>
      <w:r>
        <w:rPr>
          <w:rFonts w:ascii="Times New Roman" w:hAnsi="Times New Roman" w:cs="Times New Roman"/>
          <w:strike w:val="0"/>
          <w:sz w:val="28"/>
          <w:szCs w:val="28"/>
        </w:rPr>
        <w:t xml:space="preserve">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</w:t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</w:rPr>
        <w:t xml:space="preserve">3.4. </w:t>
      </w:r>
      <w:r>
        <w:rPr>
          <w:rFonts w:ascii="Times New Roman" w:hAnsi="Times New Roman" w:cs="Times New Roman"/>
          <w:strike w:val="0"/>
          <w:sz w:val="28"/>
          <w:szCs w:val="28"/>
        </w:rPr>
        <w:t xml:space="preserve">Прием жалоб в письменном виде осуществляется в администрации округа, а также  в многофункциональном центре в установленном порядке.</w:t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</w:rPr>
        <w:t xml:space="preserve">Жалоба в письменной форме может быть направлена по почте.</w:t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</w:rPr>
        <w:t xml:space="preserve">В случае</w:t>
      </w:r>
      <w:r>
        <w:rPr>
          <w:rFonts w:ascii="Times New Roman" w:hAnsi="Times New Roman" w:cs="Times New Roman"/>
          <w:strike w:val="0"/>
          <w:sz w:val="28"/>
          <w:szCs w:val="28"/>
        </w:rPr>
        <w:t xml:space="preserve"> подачи жалобы на личном приеме заявитель (уполномоченный заявитель) представляет</w:t>
      </w:r>
      <w:r>
        <w:rPr>
          <w:rFonts w:ascii="Times New Roman" w:hAnsi="Times New Roman" w:cs="Times New Roman"/>
          <w:strike w:val="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trike w:val="0"/>
          <w:sz w:val="28"/>
          <w:szCs w:val="28"/>
          <w:lang w:val="ru-RU"/>
        </w:rPr>
        <w:t xml:space="preserve">документ</w:t>
      </w:r>
      <w:r>
        <w:rPr>
          <w:rFonts w:ascii="Times New Roman" w:hAnsi="Times New Roman" w:cs="Times New Roman"/>
          <w:strike w:val="0"/>
          <w:sz w:val="28"/>
          <w:szCs w:val="28"/>
        </w:rPr>
        <w:t xml:space="preserve">, удостоверяющий его личность в соответствии с законодательством Российской Федерации.</w:t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</w:rPr>
        <w:t xml:space="preserve">3.5. </w:t>
      </w:r>
      <w:r>
        <w:rPr>
          <w:rFonts w:ascii="Times New Roman" w:hAnsi="Times New Roman" w:cs="Times New Roman"/>
          <w:strike w:val="0"/>
          <w:sz w:val="28"/>
          <w:szCs w:val="28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</w:t>
      </w:r>
      <w:r>
        <w:rPr>
          <w:rFonts w:ascii="Times New Roman" w:hAnsi="Times New Roman" w:cs="Times New Roman"/>
          <w:strike w:val="0"/>
          <w:sz w:val="28"/>
          <w:szCs w:val="28"/>
        </w:rPr>
        <w:t xml:space="preserve">еля, может быть представлена:</w:t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</w:rPr>
        <w:t xml:space="preserve">а) оформленная в соответствии с законодательством Российской Федерации доверенность (для физических лиц);</w:t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</w:p>
    <w:p>
      <w:pPr>
        <w:contextualSpacing w:val="0"/>
        <w:ind w:firstLine="709"/>
        <w:jc w:val="both"/>
        <w:spacing w:after="0" w:line="336" w:lineRule="auto"/>
        <w:widowControl w:val="off"/>
        <w:rPr>
          <w:rFonts w:ascii="Times New Roman" w:hAnsi="Times New Roman" w:cs="Times New Roman"/>
          <w:strike w:val="0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 w:cs="Times New Roman"/>
          <w:strike w:val="0"/>
          <w:sz w:val="28"/>
          <w:szCs w:val="28"/>
        </w:rPr>
        <w:t xml:space="preserve">б) оформленная в соответствии с законодательством Российской Федерации доверенность, заверенная печатью заявит</w:t>
      </w:r>
      <w:r>
        <w:rPr>
          <w:rFonts w:ascii="Times New Roman" w:hAnsi="Times New Roman" w:cs="Times New Roman"/>
          <w:strike w:val="0"/>
          <w:sz w:val="28"/>
          <w:szCs w:val="28"/>
        </w:rPr>
        <w:t xml:space="preserve">еля (при наличии печати) и подписанная руководителем заявителя или уполномо</w:t>
      </w:r>
      <w:r>
        <w:rPr>
          <w:rFonts w:ascii="Times New Roman" w:hAnsi="Times New Roman" w:cs="Times New Roman"/>
          <w:strike w:val="0"/>
          <w:sz w:val="28"/>
          <w:szCs w:val="28"/>
        </w:rPr>
        <w:t xml:space="preserve">ченным этим руководителем лицом (для юридических лиц);</w:t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14:ligatures w14:val="none"/>
        </w:rPr>
      </w:r>
    </w:p>
    <w:p>
      <w:pPr>
        <w:ind w:left="0" w:right="0" w:firstLine="709"/>
        <w:jc w:val="both"/>
        <w:spacing w:after="0" w:line="336" w:lineRule="auto"/>
        <w:rPr>
          <w:strike w:val="0"/>
          <w:color w:val="auto"/>
          <w:highlight w:val="none"/>
        </w:rPr>
      </w:pPr>
      <w:r>
        <w:rPr>
          <w:rFonts w:ascii="Times New Roman" w:hAnsi="Times New Roman" w:cs="Times New Roman"/>
          <w:bCs/>
          <w:strike w:val="0"/>
          <w:color w:val="auto"/>
          <w:sz w:val="28"/>
          <w:szCs w:val="28"/>
          <w:highlight w:val="none"/>
        </w:rPr>
        <w:t xml:space="preserve">3.6</w:t>
      </w:r>
      <w:r>
        <w:rPr>
          <w:rFonts w:ascii="Times New Roman" w:hAnsi="Times New Roman" w:cs="Times New Roman"/>
          <w:bCs/>
          <w:strike w:val="0"/>
          <w:color w:val="auto"/>
          <w:sz w:val="28"/>
          <w:szCs w:val="28"/>
          <w:highlight w:val="none"/>
        </w:rPr>
        <w:t xml:space="preserve">. В электронном виде жалоба может быть подана заявителем посредством:</w:t>
      </w:r>
      <w:r>
        <w:rPr>
          <w:strike w:val="0"/>
          <w:color w:val="auto"/>
          <w:highlight w:val="none"/>
        </w:rPr>
      </w:r>
      <w:r>
        <w:rPr>
          <w:strike w:val="0"/>
          <w:color w:val="auto"/>
          <w:highlight w:val="none"/>
        </w:rPr>
      </w:r>
    </w:p>
    <w:p>
      <w:pPr>
        <w:ind w:left="0" w:right="0" w:firstLine="709"/>
        <w:jc w:val="both"/>
        <w:spacing w:after="0" w:line="336" w:lineRule="auto"/>
        <w:rPr>
          <w:strike w:val="0"/>
          <w:color w:val="auto"/>
          <w:highlight w:val="none"/>
        </w:rPr>
      </w:pPr>
      <w:r>
        <w:rPr>
          <w:rFonts w:ascii="Times New Roman" w:hAnsi="Times New Roman" w:cs="Times New Roman"/>
          <w:bCs/>
          <w:strike w:val="0"/>
          <w:color w:val="000000" w:themeColor="text1"/>
          <w:sz w:val="28"/>
          <w:szCs w:val="28"/>
          <w:highlight w:val="none"/>
        </w:rPr>
        <w:t xml:space="preserve">а) официального сайта Артемовского городского округа, </w:t>
      </w:r>
      <w:r>
        <w:rPr>
          <w:rFonts w:ascii="Times New Roman" w:hAnsi="Times New Roman" w:cs="Times New Roman"/>
          <w:bCs/>
          <w:strike w:val="0"/>
          <w:color w:val="000000" w:themeColor="text1"/>
          <w:sz w:val="28"/>
          <w:szCs w:val="28"/>
          <w:highlight w:val="none"/>
        </w:rPr>
        <w:t xml:space="preserve">многофун</w:t>
      </w:r>
      <w:r>
        <w:rPr>
          <w:rFonts w:ascii="Times New Roman" w:hAnsi="Times New Roman" w:cs="Times New Roman"/>
          <w:bCs/>
          <w:strike w:val="0"/>
          <w:color w:val="auto"/>
          <w:sz w:val="28"/>
          <w:szCs w:val="28"/>
          <w:highlight w:val="none"/>
        </w:rPr>
        <w:t xml:space="preserve">кционального центра, учредителя многофункционального центра в информационно-телекоммуникационной сети </w:t>
      </w:r>
      <w:r>
        <w:rPr>
          <w:rFonts w:ascii="Times New Roman" w:hAnsi="Times New Roman" w:cs="Times New Roman"/>
          <w:bCs/>
          <w:strike w:val="0"/>
          <w:color w:val="auto"/>
          <w:sz w:val="28"/>
          <w:szCs w:val="28"/>
          <w:highlight w:val="none"/>
        </w:rPr>
        <w:t xml:space="preserve">Интернет;</w:t>
      </w:r>
      <w:r>
        <w:rPr>
          <w:strike w:val="0"/>
          <w:color w:val="auto"/>
          <w:highlight w:val="none"/>
        </w:rPr>
      </w:r>
      <w:r>
        <w:rPr>
          <w:strike w:val="0"/>
          <w:color w:val="auto"/>
          <w:highlight w:val="none"/>
        </w:rPr>
      </w:r>
    </w:p>
    <w:p>
      <w:pPr>
        <w:ind w:left="0" w:right="0" w:firstLine="709"/>
        <w:jc w:val="both"/>
        <w:spacing w:after="0" w:line="336" w:lineRule="auto"/>
        <w:rPr>
          <w:strike w:val="0"/>
          <w:highlight w:val="none"/>
        </w:rPr>
      </w:pPr>
      <w:r>
        <w:rPr>
          <w:rFonts w:ascii="Times New Roman" w:hAnsi="Times New Roman" w:cs="Times New Roman"/>
          <w:bCs/>
          <w:strike w:val="0"/>
          <w:color w:val="auto"/>
          <w:sz w:val="28"/>
          <w:szCs w:val="28"/>
          <w:highlight w:val="none"/>
        </w:rPr>
        <w:t xml:space="preserve">б</w:t>
      </w:r>
      <w:r>
        <w:rPr>
          <w:rFonts w:ascii="Times New Roman" w:hAnsi="Times New Roman" w:cs="Times New Roman"/>
          <w:bCs/>
          <w:strike w:val="0"/>
          <w:color w:val="auto"/>
          <w:sz w:val="28"/>
          <w:szCs w:val="28"/>
          <w:highlight w:val="none"/>
        </w:rPr>
        <w:t xml:space="preserve">) </w:t>
      </w:r>
      <w:r>
        <w:rPr>
          <w:rFonts w:ascii="Times New Roman" w:hAnsi="Times New Roman" w:cs="Times New Roman"/>
          <w:bCs/>
          <w:strike w:val="0"/>
          <w:sz w:val="28"/>
          <w:szCs w:val="28"/>
          <w:highlight w:val="none"/>
        </w:rPr>
        <w:t xml:space="preserve">Единого </w:t>
      </w:r>
      <w:r>
        <w:rPr>
          <w:rFonts w:ascii="Times New Roman" w:hAnsi="Times New Roman" w:cs="Times New Roman"/>
          <w:bCs/>
          <w:strike w:val="0"/>
          <w:sz w:val="28"/>
          <w:szCs w:val="28"/>
          <w:highlight w:val="none"/>
        </w:rPr>
        <w:t xml:space="preserve">портала (за исключением жалоб на решения и действия (бездействие) </w:t>
      </w:r>
      <w:r>
        <w:rPr>
          <w:rFonts w:ascii="Times New Roman" w:hAnsi="Times New Roman" w:cs="Times New Roman"/>
          <w:bCs/>
          <w:strike w:val="0"/>
          <w:color w:val="auto"/>
          <w:sz w:val="28"/>
          <w:szCs w:val="28"/>
          <w:highlight w:val="none"/>
        </w:rPr>
        <w:t xml:space="preserve">привлекаемых организаций,</w:t>
      </w:r>
      <w:r>
        <w:rPr>
          <w:rFonts w:ascii="Times New Roman" w:hAnsi="Times New Roman" w:cs="Times New Roman"/>
          <w:bCs/>
          <w:strike w:val="0"/>
          <w:color w:val="auto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bCs/>
          <w:strike w:val="0"/>
          <w:sz w:val="28"/>
          <w:szCs w:val="28"/>
          <w:highlight w:val="none"/>
        </w:rPr>
        <w:t xml:space="preserve">многофункциональных центров и и</w:t>
      </w:r>
      <w:r>
        <w:rPr>
          <w:rFonts w:ascii="Times New Roman" w:hAnsi="Times New Roman" w:cs="Times New Roman"/>
          <w:bCs/>
          <w:strike w:val="0"/>
          <w:sz w:val="28"/>
          <w:szCs w:val="28"/>
          <w:highlight w:val="none"/>
        </w:rPr>
        <w:t xml:space="preserve">х должностных лиц и работников).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ind w:left="0" w:right="0"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strike w:val="0"/>
          <w:color w:val="000000" w:themeColor="text1"/>
          <w:sz w:val="28"/>
          <w:szCs w:val="28"/>
          <w:highlight w:val="none"/>
        </w:rPr>
        <w:t xml:space="preserve">3.7</w:t>
      </w:r>
      <w:r>
        <w:rPr>
          <w:rFonts w:ascii="Times New Roman" w:hAnsi="Times New Roman" w:cs="Times New Roman"/>
          <w:strike w:val="0"/>
          <w:color w:val="000000" w:themeColor="text1"/>
          <w:sz w:val="28"/>
          <w:szCs w:val="28"/>
          <w:highlight w:val="none"/>
        </w:rPr>
        <w:t xml:space="preserve">. При подаче жа</w:t>
      </w:r>
      <w:r>
        <w:rPr>
          <w:rFonts w:ascii="Times New Roman" w:hAnsi="Times New Roman" w:cs="Times New Roman"/>
          <w:strike w:val="0"/>
          <w:color w:val="000000" w:themeColor="text1"/>
          <w:sz w:val="28"/>
          <w:szCs w:val="28"/>
          <w:highlight w:val="none"/>
        </w:rPr>
        <w:t xml:space="preserve">лобы в электронном виде документы, </w:t>
      </w:r>
      <w:r>
        <w:rPr>
          <w:rFonts w:ascii="Times New Roman" w:hAnsi="Times New Roman" w:cs="Times New Roman"/>
          <w:strike w:val="0"/>
          <w:color w:val="000000" w:themeColor="text1"/>
          <w:sz w:val="28"/>
          <w:szCs w:val="28"/>
          <w:highlight w:val="none"/>
        </w:rPr>
        <w:t xml:space="preserve">указанные в</w:t>
      </w:r>
      <w:r>
        <w:rPr>
          <w:rFonts w:ascii="Times New Roman" w:hAnsi="Times New Roman" w:cs="Times New Roman"/>
          <w:strike w:val="0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trike w:val="0"/>
          <w:color w:val="000000" w:themeColor="text1"/>
          <w:sz w:val="28"/>
          <w:szCs w:val="28"/>
          <w:highlight w:val="none"/>
        </w:rPr>
        <w:t xml:space="preserve">пункте 3.5 настоящего Порядка</w:t>
      </w:r>
      <w:r>
        <w:rPr>
          <w:rFonts w:ascii="Times New Roman" w:hAnsi="Times New Roman" w:cs="Times New Roman"/>
          <w:strike w:val="0"/>
          <w:color w:val="000000" w:themeColor="text1"/>
          <w:sz w:val="28"/>
          <w:szCs w:val="28"/>
          <w:highlight w:val="none"/>
        </w:rPr>
        <w:t xml:space="preserve">, </w:t>
      </w:r>
      <w:r>
        <w:rPr>
          <w:rFonts w:ascii="Times New Roman" w:hAnsi="Times New Roman" w:cs="Times New Roman"/>
          <w:strike w:val="0"/>
          <w:color w:val="000000" w:themeColor="text1"/>
          <w:sz w:val="28"/>
          <w:szCs w:val="28"/>
          <w:highlight w:val="none"/>
        </w:rPr>
        <w:t xml:space="preserve">могут быть представлен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ы в форме электронных документов, подписанных электронной подписью, вид которой предусмотрен законодательством Российской Федерации, при этом док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умент, удостоверяющий личность заявителя, не требуется.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3.8. Жалоба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 подлежит регистрации не позднее следующего за днем ее поступления рабочего дня и  рассмотрению в течение 15 рабочих дней со дня ее регистрации.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В случае обжалования отказа органа, предоставляющего муниципальную услугу,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 многофункционального центра,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привлекаемых организаций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,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в приеме документов у заявителя либо в исправлении допущенных опечаток и (или)  ошибок или в случае обжалования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заявителем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нарушения установленного срока таких исп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равлений жалоба рассматривается в течение  5 (пяти) рабочих дней со дня ее регистрации.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3.9. По результатам рассмотрения жалобы в соответствии с частью 7 статьи 11.2 Федерального закона от 27.07.2010 № 210-ФЗ принимается одно из следующих решений: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а) жалоба удовлетворяется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б) в удовлетворении жалобы отказывается.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При удовлетворении жалобы принимаются исчерпывающие меры по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устранению выявленных нарушений,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в том числе по выдаче заявителю результата муниципальной услуги, не позднее 5 (пяти) рабочих дней со дня принятия решения, если иное н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е установлено законодательством Российской Федерации,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3.10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 В удовлетворении жалобы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 отказывается в следующих случаях: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а) наличие вступившего в законную силу решения суда, арбитражного суда по жалобе о том же предмете и по тем же основаниям;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б) подача жалобы лицом, полномочия которого не подтверждены в порядке, установленном законодательством Российской Федерации;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в) наличие решения по жалобе, принятого ранее в соответствии с требованиями настоящего Порядка в отношении того же заявителя и по тому же предмету жалобы.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В случае признания жалобы не подлежащей удовлетворению в ответе заявителю даются аргументированные разъяснения о причинах принятого решения.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3.11. 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 услугу, многофункционального центра, учредителя многофункционального центра,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работником привлекаемой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организации и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направляется заявителю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не позднее дня, следующего за днем принятия решения, в письменной форме и по желанию заявителя в электронной форме.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contextualSpacing w:val="0"/>
        <w:ind w:firstLine="709"/>
        <w:jc w:val="both"/>
        <w:spacing w:after="0" w:line="336" w:lineRule="auto"/>
        <w:widowControl w:val="off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  <w:suppressLineNumbers w:val="0"/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3.12. Уполномоченный на рассмотрение жалобы орган, предоставляющий муниципальную услугу, многофункциональный центр,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привлекаемая организация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, учредитель многофункционального центра вправе оставить жалобу без ответа в следующих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случаях: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contextualSpacing w:val="0"/>
        <w:ind w:firstLine="709"/>
        <w:jc w:val="both"/>
        <w:spacing w:after="0" w:line="336" w:lineRule="auto"/>
        <w:widowControl w:val="off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  <w:suppressLineNumbers w:val="0"/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а) наличие в жалобе неценз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урных либо оскорбительных выражений, угроз жизни, здоровью и имуществу должностного лица, работника, а также членов его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семьи;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contextualSpacing w:val="0"/>
        <w:ind w:firstLine="709"/>
        <w:jc w:val="both"/>
        <w:spacing w:after="0" w:line="336" w:lineRule="auto"/>
        <w:widowControl w:val="off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  <w:suppressLineNumbers w:val="0"/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б) отсутс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  <w:suppressLineNumbers w:val="0"/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Уполномоченный на рассмотрение жалобы орган, предоставляющий муниципальную услугу, многофункциональный центр,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привлекаемая организация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, учредитель многофункционального центра сообщают заявителю об оставлении жалобы без ответа в течение 3 (трех) рабочих дн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ей со дня регистрации жалобы.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after="0" w:line="336" w:lineRule="auto"/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  <w:suppressLineNumbers w:val="0"/>
      </w:pP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3.13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</w:rPr>
        <w:t xml:space="preserve">незамедлительно направляют имеющиеся материалы в органы прокуратуры.</w:t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none"/>
          <w14:ligatures w14:val="none"/>
        </w:rPr>
      </w:r>
    </w:p>
    <w:sectPr>
      <w:headerReference w:type="default" r:id="rId8"/>
      <w:footerReference w:type="first" r:id="rId9"/>
      <w:footnotePr/>
      <w:endnotePr/>
      <w:type w:val="nextPage"/>
      <w:pgSz w:w="11906" w:h="16838" w:orient="portrait"/>
      <w:pgMar w:top="1134" w:right="850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6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1</w:t>
    </w:r>
    <w:r>
      <w:rPr>
        <w:rFonts w:ascii="Times New Roman" w:hAnsi="Times New Roman"/>
      </w:rPr>
      <w:t xml:space="preserve">0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</w:r>
    <w:r>
      <w:rPr>
        <w:rFonts w:ascii="Times New Roman" w:hAnsi="Times New Roman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Heading 1"/>
    <w:basedOn w:val="860"/>
    <w:next w:val="860"/>
    <w:link w:val="683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83">
    <w:name w:val="Heading 1 Char"/>
    <w:link w:val="682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84">
    <w:name w:val="Heading 2"/>
    <w:basedOn w:val="860"/>
    <w:next w:val="860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85">
    <w:name w:val="Heading 2 Char"/>
    <w:link w:val="684"/>
    <w:uiPriority w:val="9"/>
    <w:rPr>
      <w:rFonts w:ascii="Liberation Sans" w:hAnsi="Liberation Sans" w:eastAsia="Liberation Sans" w:cs="Liberation Sans"/>
      <w:sz w:val="34"/>
    </w:rPr>
  </w:style>
  <w:style w:type="paragraph" w:styleId="686">
    <w:name w:val="Heading 3"/>
    <w:basedOn w:val="860"/>
    <w:next w:val="860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87">
    <w:name w:val="Heading 3 Char"/>
    <w:link w:val="686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88">
    <w:name w:val="Heading 4"/>
    <w:basedOn w:val="860"/>
    <w:next w:val="860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89">
    <w:name w:val="Heading 4 Char"/>
    <w:link w:val="68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90">
    <w:name w:val="Heading 5"/>
    <w:basedOn w:val="860"/>
    <w:next w:val="860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91">
    <w:name w:val="Heading 5 Char"/>
    <w:link w:val="69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92">
    <w:name w:val="Heading 6"/>
    <w:basedOn w:val="860"/>
    <w:next w:val="860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93">
    <w:name w:val="Heading 6 Char"/>
    <w:link w:val="69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94">
    <w:name w:val="Heading 7"/>
    <w:basedOn w:val="860"/>
    <w:next w:val="860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96">
    <w:name w:val="Heading 8"/>
    <w:basedOn w:val="860"/>
    <w:next w:val="860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97">
    <w:name w:val="Heading 8 Char"/>
    <w:link w:val="69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8">
    <w:name w:val="Heading 9"/>
    <w:basedOn w:val="860"/>
    <w:next w:val="860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9">
    <w:name w:val="Heading 9 Char"/>
    <w:link w:val="698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00">
    <w:name w:val="List Paragraph"/>
    <w:basedOn w:val="860"/>
    <w:uiPriority w:val="34"/>
    <w:qFormat/>
    <w:pPr>
      <w:contextualSpacing/>
      <w:ind w:left="720"/>
    </w:pPr>
  </w:style>
  <w:style w:type="paragraph" w:styleId="701">
    <w:name w:val="No Spacing"/>
    <w:uiPriority w:val="1"/>
    <w:qFormat/>
    <w:pPr>
      <w:spacing w:before="0" w:after="0" w:line="240" w:lineRule="auto"/>
    </w:pPr>
  </w:style>
  <w:style w:type="paragraph" w:styleId="702">
    <w:name w:val="Title"/>
    <w:basedOn w:val="860"/>
    <w:next w:val="860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>
    <w:name w:val="Title Char"/>
    <w:link w:val="702"/>
    <w:uiPriority w:val="10"/>
    <w:rPr>
      <w:sz w:val="48"/>
      <w:szCs w:val="48"/>
    </w:rPr>
  </w:style>
  <w:style w:type="paragraph" w:styleId="704">
    <w:name w:val="Subtitle"/>
    <w:basedOn w:val="860"/>
    <w:next w:val="860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link w:val="704"/>
    <w:uiPriority w:val="11"/>
    <w:rPr>
      <w:sz w:val="24"/>
      <w:szCs w:val="24"/>
    </w:rPr>
  </w:style>
  <w:style w:type="paragraph" w:styleId="706">
    <w:name w:val="Quote"/>
    <w:basedOn w:val="860"/>
    <w:next w:val="860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basedOn w:val="860"/>
    <w:next w:val="860"/>
    <w:link w:val="7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paragraph" w:styleId="710">
    <w:name w:val="Header"/>
    <w:basedOn w:val="860"/>
    <w:link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Header Char"/>
    <w:link w:val="710"/>
    <w:uiPriority w:val="99"/>
  </w:style>
  <w:style w:type="paragraph" w:styleId="712">
    <w:name w:val="Footer"/>
    <w:basedOn w:val="860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Footer Char"/>
    <w:link w:val="712"/>
    <w:uiPriority w:val="99"/>
  </w:style>
  <w:style w:type="paragraph" w:styleId="714">
    <w:name w:val="Caption"/>
    <w:basedOn w:val="860"/>
    <w:next w:val="860"/>
    <w:link w:val="7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5">
    <w:name w:val="Caption Char"/>
    <w:link w:val="714"/>
    <w:uiPriority w:val="35"/>
    <w:rPr>
      <w:b/>
      <w:bCs/>
      <w:color w:val="4f81bd" w:themeColor="accent1"/>
      <w:sz w:val="18"/>
      <w:szCs w:val="18"/>
    </w:rPr>
  </w:style>
  <w:style w:type="table" w:styleId="71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5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6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6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6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6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1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1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1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1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1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2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2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basedOn w:val="860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uiPriority w:val="99"/>
    <w:unhideWhenUsed/>
    <w:rPr>
      <w:vertAlign w:val="superscript"/>
    </w:rPr>
  </w:style>
  <w:style w:type="paragraph" w:styleId="846">
    <w:name w:val="endnote text"/>
    <w:basedOn w:val="860"/>
    <w:link w:val="847"/>
    <w:uiPriority w:val="99"/>
    <w:semiHidden/>
    <w:unhideWhenUsed/>
    <w:pPr>
      <w:spacing w:after="0" w:line="240" w:lineRule="auto"/>
    </w:pPr>
    <w:rPr>
      <w:sz w:val="20"/>
    </w:rPr>
  </w:style>
  <w:style w:type="character" w:styleId="847">
    <w:name w:val="Endnote Text Char"/>
    <w:link w:val="846"/>
    <w:uiPriority w:val="99"/>
    <w:rPr>
      <w:sz w:val="20"/>
    </w:rPr>
  </w:style>
  <w:style w:type="character" w:styleId="848">
    <w:name w:val="endnote reference"/>
    <w:uiPriority w:val="99"/>
    <w:semiHidden/>
    <w:unhideWhenUsed/>
    <w:rPr>
      <w:vertAlign w:val="superscript"/>
    </w:rPr>
  </w:style>
  <w:style w:type="paragraph" w:styleId="849">
    <w:name w:val="toc 1"/>
    <w:basedOn w:val="860"/>
    <w:next w:val="860"/>
    <w:uiPriority w:val="39"/>
    <w:unhideWhenUsed/>
    <w:pPr>
      <w:ind w:left="0" w:right="0" w:firstLine="0"/>
      <w:spacing w:after="57"/>
    </w:pPr>
  </w:style>
  <w:style w:type="paragraph" w:styleId="850">
    <w:name w:val="toc 2"/>
    <w:basedOn w:val="860"/>
    <w:next w:val="860"/>
    <w:uiPriority w:val="39"/>
    <w:unhideWhenUsed/>
    <w:pPr>
      <w:ind w:left="283" w:right="0" w:firstLine="0"/>
      <w:spacing w:after="57"/>
    </w:pPr>
  </w:style>
  <w:style w:type="paragraph" w:styleId="851">
    <w:name w:val="toc 3"/>
    <w:basedOn w:val="860"/>
    <w:next w:val="860"/>
    <w:uiPriority w:val="39"/>
    <w:unhideWhenUsed/>
    <w:pPr>
      <w:ind w:left="567" w:right="0" w:firstLine="0"/>
      <w:spacing w:after="57"/>
    </w:pPr>
  </w:style>
  <w:style w:type="paragraph" w:styleId="852">
    <w:name w:val="toc 4"/>
    <w:basedOn w:val="860"/>
    <w:next w:val="860"/>
    <w:uiPriority w:val="39"/>
    <w:unhideWhenUsed/>
    <w:pPr>
      <w:ind w:left="850" w:right="0" w:firstLine="0"/>
      <w:spacing w:after="57"/>
    </w:pPr>
  </w:style>
  <w:style w:type="paragraph" w:styleId="853">
    <w:name w:val="toc 5"/>
    <w:basedOn w:val="860"/>
    <w:next w:val="860"/>
    <w:uiPriority w:val="39"/>
    <w:unhideWhenUsed/>
    <w:pPr>
      <w:ind w:left="1134" w:right="0" w:firstLine="0"/>
      <w:spacing w:after="57"/>
    </w:pPr>
  </w:style>
  <w:style w:type="paragraph" w:styleId="854">
    <w:name w:val="toc 6"/>
    <w:basedOn w:val="860"/>
    <w:next w:val="860"/>
    <w:uiPriority w:val="39"/>
    <w:unhideWhenUsed/>
    <w:pPr>
      <w:ind w:left="1417" w:right="0" w:firstLine="0"/>
      <w:spacing w:after="57"/>
    </w:pPr>
  </w:style>
  <w:style w:type="paragraph" w:styleId="855">
    <w:name w:val="toc 7"/>
    <w:basedOn w:val="860"/>
    <w:next w:val="860"/>
    <w:uiPriority w:val="39"/>
    <w:unhideWhenUsed/>
    <w:pPr>
      <w:ind w:left="1701" w:right="0" w:firstLine="0"/>
      <w:spacing w:after="57"/>
    </w:pPr>
  </w:style>
  <w:style w:type="paragraph" w:styleId="856">
    <w:name w:val="toc 8"/>
    <w:basedOn w:val="860"/>
    <w:next w:val="860"/>
    <w:uiPriority w:val="39"/>
    <w:unhideWhenUsed/>
    <w:pPr>
      <w:ind w:left="1984" w:right="0" w:firstLine="0"/>
      <w:spacing w:after="57"/>
    </w:pPr>
  </w:style>
  <w:style w:type="paragraph" w:styleId="857">
    <w:name w:val="toc 9"/>
    <w:basedOn w:val="860"/>
    <w:next w:val="860"/>
    <w:uiPriority w:val="39"/>
    <w:unhideWhenUsed/>
    <w:pPr>
      <w:ind w:left="2268" w:right="0" w:firstLine="0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860"/>
    <w:next w:val="860"/>
    <w:uiPriority w:val="99"/>
    <w:unhideWhenUsed/>
    <w:pPr>
      <w:spacing w:after="0" w:afterAutospacing="0"/>
    </w:pPr>
  </w:style>
  <w:style w:type="paragraph" w:styleId="860" w:default="1">
    <w:name w:val="Normal"/>
    <w:next w:val="860"/>
    <w:link w:val="860"/>
    <w:qFormat/>
    <w:pPr>
      <w:spacing w:after="160" w:line="259" w:lineRule="auto"/>
    </w:pPr>
    <w:rPr>
      <w:sz w:val="22"/>
      <w:szCs w:val="22"/>
      <w:lang w:val="ru-RU" w:eastAsia="en-US" w:bidi="ar-SA"/>
    </w:rPr>
  </w:style>
  <w:style w:type="character" w:styleId="861">
    <w:name w:val="Основной шрифт абзаца"/>
    <w:next w:val="861"/>
    <w:link w:val="860"/>
    <w:uiPriority w:val="1"/>
    <w:semiHidden/>
    <w:unhideWhenUsed/>
  </w:style>
  <w:style w:type="table" w:styleId="862">
    <w:name w:val="Обычная таблица"/>
    <w:next w:val="862"/>
    <w:link w:val="860"/>
    <w:uiPriority w:val="99"/>
    <w:semiHidden/>
    <w:unhideWhenUsed/>
    <w:tblPr/>
  </w:style>
  <w:style w:type="numbering" w:styleId="863">
    <w:name w:val="Нет списка"/>
    <w:next w:val="863"/>
    <w:link w:val="860"/>
    <w:uiPriority w:val="99"/>
    <w:semiHidden/>
    <w:unhideWhenUsed/>
  </w:style>
  <w:style w:type="paragraph" w:styleId="864">
    <w:name w:val="ConsPlusNormal"/>
    <w:next w:val="864"/>
    <w:link w:val="860"/>
    <w:pPr>
      <w:widowControl w:val="off"/>
    </w:pPr>
    <w:rPr>
      <w:rFonts w:eastAsia="Times New Roman" w:cs="Calibri"/>
      <w:sz w:val="22"/>
      <w:lang w:val="ru-RU" w:eastAsia="ru-RU" w:bidi="ar-SA"/>
    </w:rPr>
  </w:style>
  <w:style w:type="paragraph" w:styleId="865">
    <w:name w:val="ConsPlusTitle"/>
    <w:next w:val="865"/>
    <w:link w:val="860"/>
    <w:pPr>
      <w:widowControl w:val="off"/>
    </w:pPr>
    <w:rPr>
      <w:rFonts w:eastAsia="Times New Roman" w:cs="Calibri"/>
      <w:b/>
      <w:sz w:val="22"/>
      <w:lang w:val="ru-RU" w:eastAsia="ru-RU" w:bidi="ar-SA"/>
    </w:rPr>
  </w:style>
  <w:style w:type="paragraph" w:styleId="866">
    <w:name w:val="Верхний колонтитул"/>
    <w:basedOn w:val="860"/>
    <w:next w:val="866"/>
    <w:link w:val="86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7">
    <w:name w:val="Верхний колонтитул Знак"/>
    <w:basedOn w:val="861"/>
    <w:next w:val="867"/>
    <w:link w:val="866"/>
    <w:uiPriority w:val="99"/>
  </w:style>
  <w:style w:type="paragraph" w:styleId="868">
    <w:name w:val="Нижний колонтитул"/>
    <w:basedOn w:val="860"/>
    <w:next w:val="868"/>
    <w:link w:val="86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9">
    <w:name w:val="Нижний колонтитул Знак"/>
    <w:basedOn w:val="861"/>
    <w:next w:val="869"/>
    <w:link w:val="868"/>
    <w:uiPriority w:val="99"/>
  </w:style>
  <w:style w:type="paragraph" w:styleId="870">
    <w:name w:val="Основной текст с отступом"/>
    <w:basedOn w:val="860"/>
    <w:next w:val="870"/>
    <w:link w:val="871"/>
    <w:pPr>
      <w:ind w:firstLine="426"/>
      <w:jc w:val="both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71">
    <w:name w:val="Основной текст с отступом Знак"/>
    <w:next w:val="871"/>
    <w:link w:val="870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72">
    <w:name w:val="Текст выноски"/>
    <w:basedOn w:val="860"/>
    <w:next w:val="872"/>
    <w:link w:val="87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73">
    <w:name w:val="Текст выноски Знак"/>
    <w:next w:val="873"/>
    <w:link w:val="872"/>
    <w:uiPriority w:val="99"/>
    <w:semiHidden/>
    <w:rPr>
      <w:rFonts w:ascii="Segoe UI" w:hAnsi="Segoe UI" w:cs="Segoe UI"/>
      <w:sz w:val="18"/>
      <w:szCs w:val="18"/>
    </w:rPr>
  </w:style>
  <w:style w:type="character" w:styleId="874" w:default="1">
    <w:name w:val="Default Paragraph Font"/>
    <w:uiPriority w:val="1"/>
    <w:semiHidden/>
    <w:unhideWhenUsed/>
  </w:style>
  <w:style w:type="numbering" w:styleId="875" w:default="1">
    <w:name w:val="No List"/>
    <w:uiPriority w:val="99"/>
    <w:semiHidden/>
    <w:unhideWhenUsed/>
  </w:style>
  <w:style w:type="table" w:styleId="87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Курганская Ольга Юрьевна</dc:creator>
  <cp:lastModifiedBy>lavskaya</cp:lastModifiedBy>
  <cp:revision>129</cp:revision>
  <dcterms:created xsi:type="dcterms:W3CDTF">2022-02-02T04:08:00Z</dcterms:created>
  <dcterms:modified xsi:type="dcterms:W3CDTF">2026-05-26T05:01:09Z</dcterms:modified>
  <cp:version>983040</cp:version>
</cp:coreProperties>
</file>